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D57" w:rsidRPr="00C05B24" w:rsidRDefault="00783D57" w:rsidP="00C05B24">
      <w:pPr>
        <w:pStyle w:val="af0"/>
        <w:spacing w:line="240" w:lineRule="exact"/>
        <w:ind w:firstLineChars="0" w:firstLine="0"/>
        <w:rPr>
          <w:rFonts w:ascii="微软雅黑" w:eastAsia="微软雅黑" w:hAnsi="微软雅黑" w:hint="eastAsia"/>
          <w:sz w:val="22"/>
          <w:szCs w:val="22"/>
        </w:rPr>
      </w:pPr>
    </w:p>
    <w:p w:rsidR="00783D57" w:rsidRPr="00C05B24" w:rsidRDefault="00F4404D" w:rsidP="00C05B24">
      <w:pPr>
        <w:pStyle w:val="ad"/>
        <w:spacing w:line="600" w:lineRule="exact"/>
        <w:rPr>
          <w:rFonts w:ascii="微软雅黑" w:eastAsia="微软雅黑" w:hAnsi="微软雅黑"/>
          <w:b/>
          <w:bCs/>
          <w:sz w:val="40"/>
          <w:szCs w:val="40"/>
        </w:rPr>
      </w:pPr>
      <w:r w:rsidRPr="00C05B24">
        <w:rPr>
          <w:rFonts w:ascii="微软雅黑" w:eastAsia="微软雅黑" w:hAnsi="微软雅黑" w:hint="eastAsia"/>
          <w:b/>
          <w:bCs/>
          <w:sz w:val="40"/>
          <w:szCs w:val="40"/>
        </w:rPr>
        <w:t>最高人民法院</w:t>
      </w:r>
    </w:p>
    <w:p w:rsidR="00783D57" w:rsidRPr="00C05B24" w:rsidRDefault="00F4404D" w:rsidP="00C05B24">
      <w:pPr>
        <w:pStyle w:val="ad"/>
        <w:spacing w:line="600" w:lineRule="exact"/>
        <w:rPr>
          <w:rFonts w:ascii="微软雅黑" w:eastAsia="微软雅黑" w:hAnsi="微软雅黑"/>
          <w:b/>
          <w:bCs/>
          <w:sz w:val="40"/>
          <w:szCs w:val="40"/>
        </w:rPr>
      </w:pPr>
      <w:r w:rsidRPr="00C05B24">
        <w:rPr>
          <w:rFonts w:ascii="微软雅黑" w:eastAsia="微软雅黑" w:hAnsi="微软雅黑" w:hint="eastAsia"/>
          <w:b/>
          <w:bCs/>
          <w:sz w:val="40"/>
          <w:szCs w:val="40"/>
        </w:rPr>
        <w:t>关于审理非法集资刑事案件具体应用法律</w:t>
      </w:r>
    </w:p>
    <w:p w:rsidR="00783D57" w:rsidRPr="00C05B24" w:rsidRDefault="00F4404D" w:rsidP="00C05B24">
      <w:pPr>
        <w:pStyle w:val="ad"/>
        <w:spacing w:line="600" w:lineRule="exact"/>
        <w:rPr>
          <w:rFonts w:ascii="微软雅黑" w:eastAsia="微软雅黑" w:hAnsi="微软雅黑"/>
          <w:b/>
          <w:bCs/>
          <w:sz w:val="40"/>
          <w:szCs w:val="40"/>
        </w:rPr>
      </w:pPr>
      <w:r w:rsidRPr="00C05B24">
        <w:rPr>
          <w:rFonts w:ascii="微软雅黑" w:eastAsia="微软雅黑" w:hAnsi="微软雅黑" w:hint="eastAsia"/>
          <w:b/>
          <w:bCs/>
          <w:sz w:val="40"/>
          <w:szCs w:val="40"/>
        </w:rPr>
        <w:t>若干问题的解释</w:t>
      </w:r>
    </w:p>
    <w:p w:rsidR="00783D57" w:rsidRDefault="00783D57" w:rsidP="00C05B24">
      <w:pPr>
        <w:pStyle w:val="af0"/>
        <w:spacing w:line="240" w:lineRule="exact"/>
        <w:ind w:firstLine="440"/>
        <w:rPr>
          <w:rFonts w:ascii="微软雅黑" w:eastAsia="微软雅黑" w:hAnsi="微软雅黑"/>
          <w:sz w:val="22"/>
          <w:szCs w:val="22"/>
        </w:rPr>
      </w:pPr>
    </w:p>
    <w:p w:rsidR="00C05B24" w:rsidRDefault="00C05B24" w:rsidP="00C05B24">
      <w:pPr>
        <w:pStyle w:val="af0"/>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2022-03-01</w:t>
      </w:r>
    </w:p>
    <w:p w:rsidR="00C05B24" w:rsidRPr="00C05B24" w:rsidRDefault="00C05B24" w:rsidP="00C05B24">
      <w:pPr>
        <w:pStyle w:val="af0"/>
        <w:spacing w:line="240" w:lineRule="exact"/>
        <w:ind w:firstLine="440"/>
        <w:rPr>
          <w:rFonts w:ascii="微软雅黑" w:eastAsia="微软雅黑" w:hAnsi="微软雅黑" w:hint="eastAsia"/>
          <w:sz w:val="22"/>
          <w:szCs w:val="22"/>
        </w:rPr>
      </w:pPr>
    </w:p>
    <w:p w:rsidR="00783D57" w:rsidRPr="00C05B24" w:rsidRDefault="00F4404D" w:rsidP="00C05B24">
      <w:pPr>
        <w:pStyle w:val="af"/>
        <w:spacing w:line="240" w:lineRule="exact"/>
        <w:ind w:left="630" w:right="630"/>
        <w:rPr>
          <w:rFonts w:ascii="微软雅黑" w:eastAsia="微软雅黑" w:hAnsi="微软雅黑"/>
          <w:sz w:val="21"/>
          <w:szCs w:val="21"/>
        </w:rPr>
      </w:pPr>
      <w:r w:rsidRPr="00C05B24">
        <w:rPr>
          <w:rFonts w:ascii="微软雅黑" w:eastAsia="微软雅黑" w:hAnsi="微软雅黑" w:hint="eastAsia"/>
          <w:sz w:val="21"/>
          <w:szCs w:val="21"/>
        </w:rPr>
        <w:t>（</w:t>
      </w:r>
      <w:r w:rsidRPr="00C05B24">
        <w:rPr>
          <w:rFonts w:ascii="微软雅黑" w:eastAsia="微软雅黑" w:hAnsi="微软雅黑" w:hint="eastAsia"/>
          <w:sz w:val="21"/>
          <w:szCs w:val="21"/>
        </w:rPr>
        <w:t>2010</w:t>
      </w:r>
      <w:r w:rsidRPr="00C05B24">
        <w:rPr>
          <w:rFonts w:ascii="微软雅黑" w:eastAsia="微软雅黑" w:hAnsi="微软雅黑" w:hint="eastAsia"/>
          <w:sz w:val="21"/>
          <w:szCs w:val="21"/>
        </w:rPr>
        <w:t>年</w:t>
      </w:r>
      <w:r w:rsidRPr="00C05B24">
        <w:rPr>
          <w:rFonts w:ascii="微软雅黑" w:eastAsia="微软雅黑" w:hAnsi="微软雅黑" w:hint="eastAsia"/>
          <w:sz w:val="21"/>
          <w:szCs w:val="21"/>
        </w:rPr>
        <w:t>11</w:t>
      </w:r>
      <w:r w:rsidRPr="00C05B24">
        <w:rPr>
          <w:rFonts w:ascii="微软雅黑" w:eastAsia="微软雅黑" w:hAnsi="微软雅黑" w:hint="eastAsia"/>
          <w:sz w:val="21"/>
          <w:szCs w:val="21"/>
        </w:rPr>
        <w:t>月</w:t>
      </w:r>
      <w:r w:rsidRPr="00C05B24">
        <w:rPr>
          <w:rFonts w:ascii="微软雅黑" w:eastAsia="微软雅黑" w:hAnsi="微软雅黑" w:hint="eastAsia"/>
          <w:sz w:val="21"/>
          <w:szCs w:val="21"/>
        </w:rPr>
        <w:t>22</w:t>
      </w:r>
      <w:r w:rsidRPr="00C05B24">
        <w:rPr>
          <w:rFonts w:ascii="微软雅黑" w:eastAsia="微软雅黑" w:hAnsi="微软雅黑" w:hint="eastAsia"/>
          <w:sz w:val="21"/>
          <w:szCs w:val="21"/>
        </w:rPr>
        <w:t>日最高人民法院审判委员会第</w:t>
      </w:r>
      <w:r w:rsidRPr="00C05B24">
        <w:rPr>
          <w:rFonts w:ascii="微软雅黑" w:eastAsia="微软雅黑" w:hAnsi="微软雅黑" w:hint="eastAsia"/>
          <w:sz w:val="21"/>
          <w:szCs w:val="21"/>
        </w:rPr>
        <w:t>1502</w:t>
      </w:r>
      <w:r w:rsidRPr="00C05B24">
        <w:rPr>
          <w:rFonts w:ascii="微软雅黑" w:eastAsia="微软雅黑" w:hAnsi="微软雅黑" w:hint="eastAsia"/>
          <w:sz w:val="21"/>
          <w:szCs w:val="21"/>
        </w:rPr>
        <w:t>次会议通过，根据</w:t>
      </w:r>
      <w:r w:rsidRPr="00C05B24">
        <w:rPr>
          <w:rFonts w:ascii="微软雅黑" w:eastAsia="微软雅黑" w:hAnsi="微软雅黑" w:hint="eastAsia"/>
          <w:sz w:val="21"/>
          <w:szCs w:val="21"/>
        </w:rPr>
        <w:t>2021</w:t>
      </w:r>
      <w:r w:rsidRPr="00C05B24">
        <w:rPr>
          <w:rFonts w:ascii="微软雅黑" w:eastAsia="微软雅黑" w:hAnsi="微软雅黑" w:hint="eastAsia"/>
          <w:sz w:val="21"/>
          <w:szCs w:val="21"/>
        </w:rPr>
        <w:t>年</w:t>
      </w:r>
      <w:r w:rsidRPr="00C05B24">
        <w:rPr>
          <w:rFonts w:ascii="微软雅黑" w:eastAsia="微软雅黑" w:hAnsi="微软雅黑" w:hint="eastAsia"/>
          <w:sz w:val="21"/>
          <w:szCs w:val="21"/>
        </w:rPr>
        <w:t>12</w:t>
      </w:r>
      <w:r w:rsidRPr="00C05B24">
        <w:rPr>
          <w:rFonts w:ascii="微软雅黑" w:eastAsia="微软雅黑" w:hAnsi="微软雅黑" w:hint="eastAsia"/>
          <w:sz w:val="21"/>
          <w:szCs w:val="21"/>
        </w:rPr>
        <w:t>月</w:t>
      </w:r>
      <w:r w:rsidRPr="00C05B24">
        <w:rPr>
          <w:rFonts w:ascii="微软雅黑" w:eastAsia="微软雅黑" w:hAnsi="微软雅黑" w:hint="eastAsia"/>
          <w:sz w:val="21"/>
          <w:szCs w:val="21"/>
        </w:rPr>
        <w:t>30</w:t>
      </w:r>
      <w:r w:rsidRPr="00C05B24">
        <w:rPr>
          <w:rFonts w:ascii="微软雅黑" w:eastAsia="微软雅黑" w:hAnsi="微软雅黑" w:hint="eastAsia"/>
          <w:sz w:val="21"/>
          <w:szCs w:val="21"/>
        </w:rPr>
        <w:t>日最高人民法院审判委员会第</w:t>
      </w:r>
      <w:r w:rsidRPr="00C05B24">
        <w:rPr>
          <w:rFonts w:ascii="微软雅黑" w:eastAsia="微软雅黑" w:hAnsi="微软雅黑" w:hint="eastAsia"/>
          <w:sz w:val="21"/>
          <w:szCs w:val="21"/>
        </w:rPr>
        <w:t>1860</w:t>
      </w:r>
      <w:r w:rsidRPr="00C05B24">
        <w:rPr>
          <w:rFonts w:ascii="微软雅黑" w:eastAsia="微软雅黑" w:hAnsi="微软雅黑" w:hint="eastAsia"/>
          <w:sz w:val="21"/>
          <w:szCs w:val="21"/>
        </w:rPr>
        <w:t>次会议通过的《最高人民法院关于修改〈最高人民法院关于审理非法集资刑事案件具体应用法律若干问题的解释〉的决定》修正，该</w:t>
      </w:r>
      <w:proofErr w:type="gramStart"/>
      <w:r w:rsidRPr="00C05B24">
        <w:rPr>
          <w:rFonts w:ascii="微软雅黑" w:eastAsia="微软雅黑" w:hAnsi="微软雅黑" w:hint="eastAsia"/>
          <w:sz w:val="21"/>
          <w:szCs w:val="21"/>
        </w:rPr>
        <w:t>修正自</w:t>
      </w:r>
      <w:proofErr w:type="gramEnd"/>
      <w:r w:rsidRPr="00C05B24">
        <w:rPr>
          <w:rFonts w:ascii="微软雅黑" w:eastAsia="微软雅黑" w:hAnsi="微软雅黑" w:hint="eastAsia"/>
          <w:sz w:val="21"/>
          <w:szCs w:val="21"/>
        </w:rPr>
        <w:t>2022</w:t>
      </w:r>
      <w:r w:rsidRPr="00C05B24">
        <w:rPr>
          <w:rFonts w:ascii="微软雅黑" w:eastAsia="微软雅黑" w:hAnsi="微软雅黑" w:hint="eastAsia"/>
          <w:sz w:val="21"/>
          <w:szCs w:val="21"/>
        </w:rPr>
        <w:t>年</w:t>
      </w:r>
      <w:r w:rsidRPr="00C05B24">
        <w:rPr>
          <w:rFonts w:ascii="微软雅黑" w:eastAsia="微软雅黑" w:hAnsi="微软雅黑" w:hint="eastAsia"/>
          <w:sz w:val="21"/>
          <w:szCs w:val="21"/>
        </w:rPr>
        <w:t>3</w:t>
      </w:r>
      <w:r w:rsidRPr="00C05B24">
        <w:rPr>
          <w:rFonts w:ascii="微软雅黑" w:eastAsia="微软雅黑" w:hAnsi="微软雅黑" w:hint="eastAsia"/>
          <w:sz w:val="21"/>
          <w:szCs w:val="21"/>
        </w:rPr>
        <w:t>月</w:t>
      </w:r>
      <w:r w:rsidRPr="00C05B24">
        <w:rPr>
          <w:rFonts w:ascii="微软雅黑" w:eastAsia="微软雅黑" w:hAnsi="微软雅黑" w:hint="eastAsia"/>
          <w:sz w:val="21"/>
          <w:szCs w:val="21"/>
        </w:rPr>
        <w:t>1</w:t>
      </w:r>
      <w:r w:rsidRPr="00C05B24">
        <w:rPr>
          <w:rFonts w:ascii="微软雅黑" w:eastAsia="微软雅黑" w:hAnsi="微软雅黑" w:hint="eastAsia"/>
          <w:sz w:val="21"/>
          <w:szCs w:val="21"/>
        </w:rPr>
        <w:t>日起施行）</w:t>
      </w:r>
    </w:p>
    <w:p w:rsidR="00783D57" w:rsidRPr="00C05B24" w:rsidRDefault="00783D57" w:rsidP="00C05B24">
      <w:pPr>
        <w:pStyle w:val="af0"/>
        <w:spacing w:line="400" w:lineRule="exact"/>
        <w:ind w:firstLine="480"/>
        <w:rPr>
          <w:rFonts w:ascii="微软雅黑" w:eastAsia="微软雅黑" w:hAnsi="微软雅黑"/>
          <w:sz w:val="24"/>
          <w:szCs w:val="24"/>
        </w:rPr>
      </w:pP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为依法惩治非法吸收公众存款、集资诈骗等非法集资犯罪活动，根据《中华人民共和国刑法》的规定，现就审理此类刑事案件具体应用法律的若干问题解释如下：</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Style w:val="af1"/>
          <w:rFonts w:ascii="微软雅黑" w:eastAsia="微软雅黑" w:hAnsi="微软雅黑" w:hint="eastAsia"/>
          <w:sz w:val="24"/>
          <w:szCs w:val="24"/>
        </w:rPr>
        <w:t xml:space="preserve">第一条　</w:t>
      </w:r>
      <w:r w:rsidRPr="00C05B24">
        <w:rPr>
          <w:rFonts w:ascii="微软雅黑" w:eastAsia="微软雅黑" w:hAnsi="微软雅黑" w:hint="eastAsia"/>
          <w:sz w:val="24"/>
          <w:szCs w:val="24"/>
        </w:rPr>
        <w:t>违反国家金融管理法律规定，向社会公众（包括单位和个人）吸收资金的行为，同时具备下列</w:t>
      </w:r>
      <w:r w:rsidRPr="00C05B24">
        <w:rPr>
          <w:rFonts w:ascii="微软雅黑" w:eastAsia="微软雅黑" w:hAnsi="微软雅黑" w:hint="eastAsia"/>
          <w:sz w:val="24"/>
          <w:szCs w:val="24"/>
        </w:rPr>
        <w:t>四个条件的，除刑法另有规定的以外，应当认定为刑法第一百七十六条规定的“非法吸收公众存款或者变相吸收公众存款”：</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（一）未经有关部门依法许可或者借用合法经营的形式吸收资金；</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（二）通过网络、媒体、推介会、传单、手机信息等途径向社会公开宣传；</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（三）承诺在一定期限内以货币、实物、股权等方式还本付息或者给付回报；</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（四）向社会公众即社会不特定对象吸收资金。</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未向社会公开宣传，在亲友或者单位内部针对特定对象吸收资金的，不属于非法吸收或者变相吸收公众存款。</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Style w:val="af1"/>
          <w:rFonts w:ascii="微软雅黑" w:eastAsia="微软雅黑" w:hAnsi="微软雅黑" w:hint="eastAsia"/>
          <w:sz w:val="24"/>
          <w:szCs w:val="24"/>
        </w:rPr>
        <w:t xml:space="preserve">第二条　</w:t>
      </w:r>
      <w:r w:rsidRPr="00C05B24">
        <w:rPr>
          <w:rFonts w:ascii="微软雅黑" w:eastAsia="微软雅黑" w:hAnsi="微软雅黑" w:hint="eastAsia"/>
          <w:sz w:val="24"/>
          <w:szCs w:val="24"/>
        </w:rPr>
        <w:t>实施下列行为之一，符合本解释第一条第一款规定的条件的</w:t>
      </w:r>
      <w:r w:rsidRPr="00C05B24">
        <w:rPr>
          <w:rFonts w:ascii="微软雅黑" w:eastAsia="微软雅黑" w:hAnsi="微软雅黑" w:hint="eastAsia"/>
          <w:sz w:val="24"/>
          <w:szCs w:val="24"/>
        </w:rPr>
        <w:t>，应当依照刑法第一百七十六条的规定，以非法吸收公众存款罪定罪处罚：</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（一）不具有房产销售的真实内容或者不以房产销售为主要目的，以返本销售、售后包租、约定回购、销售房产份额等方式非法吸收资金的；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（二）以转让林权并代为管护等方式非法吸收资金的；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（三）以代种植（养殖）、租种植（养殖）、联合种植（养殖）等方式非法吸收资金的；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（四）不具有销售商品、提供服务的真实内容或者不以销售商品、提供服务为主要目的，以商品回购、寄存代售等方式非法吸收资金的；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（五）不具有发行股票、债券的真实内容，以虚假转让股权、发售虚构债券</w:t>
      </w:r>
      <w:r w:rsidRPr="00C05B24">
        <w:rPr>
          <w:rFonts w:ascii="微软雅黑" w:eastAsia="微软雅黑" w:hAnsi="微软雅黑" w:hint="eastAsia"/>
          <w:sz w:val="24"/>
          <w:szCs w:val="24"/>
        </w:rPr>
        <w:t>等方式非法吸收资金的；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（六）不具有募集基金的真实内容，以假借境外基金、发售虚构基金等方式非法吸收资金的；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（七）不具有销售保险的真实内容，以假冒保险公司、伪造保险单据等方式非法吸收资金的；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（八）以网络借贷、投资入股、虚拟</w:t>
      </w:r>
      <w:proofErr w:type="gramStart"/>
      <w:r w:rsidRPr="00C05B24">
        <w:rPr>
          <w:rFonts w:ascii="微软雅黑" w:eastAsia="微软雅黑" w:hAnsi="微软雅黑" w:hint="eastAsia"/>
          <w:sz w:val="24"/>
          <w:szCs w:val="24"/>
        </w:rPr>
        <w:t>币交易</w:t>
      </w:r>
      <w:proofErr w:type="gramEnd"/>
      <w:r w:rsidRPr="00C05B24">
        <w:rPr>
          <w:rFonts w:ascii="微软雅黑" w:eastAsia="微软雅黑" w:hAnsi="微软雅黑" w:hint="eastAsia"/>
          <w:sz w:val="24"/>
          <w:szCs w:val="24"/>
        </w:rPr>
        <w:t>等方式非法吸收资金的；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（九）以委托理财、融资租赁等方式非法吸收资金的；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（十）以提供“养老服务”、投资“养老项目”、销售“老年产品”等方式非法吸收资金的；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（十一）利用民间“会”“社”等组织非法吸收资金的；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（十二）其他非法吸收资金的行为。</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Style w:val="af1"/>
          <w:rFonts w:ascii="微软雅黑" w:eastAsia="微软雅黑" w:hAnsi="微软雅黑" w:hint="eastAsia"/>
          <w:sz w:val="24"/>
          <w:szCs w:val="24"/>
        </w:rPr>
        <w:lastRenderedPageBreak/>
        <w:t xml:space="preserve">第三条　</w:t>
      </w:r>
      <w:r w:rsidRPr="00C05B24">
        <w:rPr>
          <w:rFonts w:ascii="微软雅黑" w:eastAsia="微软雅黑" w:hAnsi="微软雅黑" w:hint="eastAsia"/>
          <w:sz w:val="24"/>
          <w:szCs w:val="24"/>
        </w:rPr>
        <w:t>非法吸收或者变相吸收公众存款，具有下列情形之一的，应当依法追究刑事责任：</w:t>
      </w:r>
    </w:p>
    <w:p w:rsidR="00783D57" w:rsidRPr="00C05B24" w:rsidRDefault="00F4404D" w:rsidP="00C05B24">
      <w:pPr>
        <w:pStyle w:val="af0"/>
        <w:spacing w:line="400" w:lineRule="exact"/>
        <w:ind w:firstLine="480"/>
        <w:rPr>
          <w:rFonts w:ascii="微软雅黑" w:eastAsia="微软雅黑" w:hAnsi="微软雅黑"/>
          <w:spacing w:val="4"/>
          <w:sz w:val="24"/>
          <w:szCs w:val="24"/>
        </w:rPr>
      </w:pPr>
      <w:r w:rsidRPr="00C05B24">
        <w:rPr>
          <w:rFonts w:ascii="微软雅黑" w:eastAsia="微软雅黑" w:hAnsi="微软雅黑" w:hint="eastAsia"/>
          <w:sz w:val="24"/>
          <w:szCs w:val="24"/>
        </w:rPr>
        <w:t>（一）</w:t>
      </w:r>
      <w:r w:rsidRPr="00C05B24">
        <w:rPr>
          <w:rFonts w:ascii="微软雅黑" w:eastAsia="微软雅黑" w:hAnsi="微软雅黑" w:hint="eastAsia"/>
          <w:spacing w:val="4"/>
          <w:sz w:val="24"/>
          <w:szCs w:val="24"/>
        </w:rPr>
        <w:t>非法吸收或者变相吸收公众存款数额在</w:t>
      </w:r>
      <w:r w:rsidRPr="00C05B24">
        <w:rPr>
          <w:rFonts w:ascii="微软雅黑" w:eastAsia="微软雅黑" w:hAnsi="微软雅黑" w:hint="eastAsia"/>
          <w:spacing w:val="4"/>
          <w:sz w:val="24"/>
          <w:szCs w:val="24"/>
        </w:rPr>
        <w:t>100</w:t>
      </w:r>
      <w:r w:rsidRPr="00C05B24">
        <w:rPr>
          <w:rFonts w:ascii="微软雅黑" w:eastAsia="微软雅黑" w:hAnsi="微软雅黑" w:hint="eastAsia"/>
          <w:spacing w:val="4"/>
          <w:sz w:val="24"/>
          <w:szCs w:val="24"/>
        </w:rPr>
        <w:t>万元以上的；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（二）非法吸收或者变相吸收公众存款对象</w:t>
      </w:r>
      <w:r w:rsidRPr="00C05B24">
        <w:rPr>
          <w:rFonts w:ascii="微软雅黑" w:eastAsia="微软雅黑" w:hAnsi="微软雅黑" w:hint="eastAsia"/>
          <w:sz w:val="24"/>
          <w:szCs w:val="24"/>
        </w:rPr>
        <w:t>150</w:t>
      </w:r>
      <w:r w:rsidRPr="00C05B24">
        <w:rPr>
          <w:rFonts w:ascii="微软雅黑" w:eastAsia="微软雅黑" w:hAnsi="微软雅黑" w:hint="eastAsia"/>
          <w:sz w:val="24"/>
          <w:szCs w:val="24"/>
        </w:rPr>
        <w:t>人以上的；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（三）非法吸收或者变相吸收公众存款，给存款人造成直接经济损失数额在</w:t>
      </w:r>
      <w:r w:rsidRPr="00C05B24">
        <w:rPr>
          <w:rFonts w:ascii="微软雅黑" w:eastAsia="微软雅黑" w:hAnsi="微软雅黑" w:hint="eastAsia"/>
          <w:sz w:val="24"/>
          <w:szCs w:val="24"/>
        </w:rPr>
        <w:t>50</w:t>
      </w:r>
      <w:r w:rsidRPr="00C05B24">
        <w:rPr>
          <w:rFonts w:ascii="微软雅黑" w:eastAsia="微软雅黑" w:hAnsi="微软雅黑" w:hint="eastAsia"/>
          <w:sz w:val="24"/>
          <w:szCs w:val="24"/>
        </w:rPr>
        <w:t>万元以上的。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非法吸收或者变相吸收公众存款数额在</w:t>
      </w:r>
      <w:r w:rsidRPr="00C05B24">
        <w:rPr>
          <w:rFonts w:ascii="微软雅黑" w:eastAsia="微软雅黑" w:hAnsi="微软雅黑" w:hint="eastAsia"/>
          <w:sz w:val="24"/>
          <w:szCs w:val="24"/>
        </w:rPr>
        <w:t>50</w:t>
      </w:r>
      <w:r w:rsidRPr="00C05B24">
        <w:rPr>
          <w:rFonts w:ascii="微软雅黑" w:eastAsia="微软雅黑" w:hAnsi="微软雅黑" w:hint="eastAsia"/>
          <w:sz w:val="24"/>
          <w:szCs w:val="24"/>
        </w:rPr>
        <w:t>万元以上或者给存款人造成直接经济损失数额在</w:t>
      </w:r>
      <w:r w:rsidRPr="00C05B24">
        <w:rPr>
          <w:rFonts w:ascii="微软雅黑" w:eastAsia="微软雅黑" w:hAnsi="微软雅黑" w:hint="eastAsia"/>
          <w:sz w:val="24"/>
          <w:szCs w:val="24"/>
        </w:rPr>
        <w:t>25</w:t>
      </w:r>
      <w:r w:rsidRPr="00C05B24">
        <w:rPr>
          <w:rFonts w:ascii="微软雅黑" w:eastAsia="微软雅黑" w:hAnsi="微软雅黑" w:hint="eastAsia"/>
          <w:sz w:val="24"/>
          <w:szCs w:val="24"/>
        </w:rPr>
        <w:t>万元以上，同时具有下列情节之一的，应当依法追究刑事责任：</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（一）曾因非法集资受过刑事追究的；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（二）二年内曾因非法集资受过行政处罚的；</w:t>
      </w:r>
      <w:bookmarkStart w:id="0" w:name="_GoBack"/>
      <w:bookmarkEnd w:id="0"/>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（三）造成恶劣社会</w:t>
      </w:r>
      <w:r w:rsidRPr="00C05B24">
        <w:rPr>
          <w:rFonts w:ascii="微软雅黑" w:eastAsia="微软雅黑" w:hAnsi="微软雅黑" w:hint="eastAsia"/>
          <w:sz w:val="24"/>
          <w:szCs w:val="24"/>
        </w:rPr>
        <w:t>影响或者其他严重后果的。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Style w:val="af1"/>
          <w:rFonts w:ascii="微软雅黑" w:eastAsia="微软雅黑" w:hAnsi="微软雅黑" w:hint="eastAsia"/>
          <w:sz w:val="24"/>
          <w:szCs w:val="24"/>
        </w:rPr>
        <w:t xml:space="preserve">第四条　</w:t>
      </w:r>
      <w:r w:rsidRPr="00C05B24">
        <w:rPr>
          <w:rFonts w:ascii="微软雅黑" w:eastAsia="微软雅黑" w:hAnsi="微软雅黑" w:hint="eastAsia"/>
          <w:sz w:val="24"/>
          <w:szCs w:val="24"/>
        </w:rPr>
        <w:t>非法吸收或者变相吸收公众存款，具有下列情形之一的，应当认定为刑法第一百七十六条规定的“数额巨大或者有其他严重情节”：</w:t>
      </w:r>
    </w:p>
    <w:p w:rsidR="00783D57" w:rsidRPr="00C05B24" w:rsidRDefault="00F4404D" w:rsidP="00C05B24">
      <w:pPr>
        <w:pStyle w:val="af0"/>
        <w:spacing w:line="400" w:lineRule="exact"/>
        <w:ind w:firstLine="480"/>
        <w:rPr>
          <w:rFonts w:ascii="微软雅黑" w:eastAsia="微软雅黑" w:hAnsi="微软雅黑"/>
          <w:spacing w:val="4"/>
          <w:sz w:val="24"/>
          <w:szCs w:val="24"/>
        </w:rPr>
      </w:pPr>
      <w:r w:rsidRPr="00C05B24">
        <w:rPr>
          <w:rFonts w:ascii="微软雅黑" w:eastAsia="微软雅黑" w:hAnsi="微软雅黑" w:hint="eastAsia"/>
          <w:sz w:val="24"/>
          <w:szCs w:val="24"/>
        </w:rPr>
        <w:t>（一）</w:t>
      </w:r>
      <w:r w:rsidRPr="00C05B24">
        <w:rPr>
          <w:rFonts w:ascii="微软雅黑" w:eastAsia="微软雅黑" w:hAnsi="微软雅黑" w:hint="eastAsia"/>
          <w:spacing w:val="4"/>
          <w:sz w:val="24"/>
          <w:szCs w:val="24"/>
        </w:rPr>
        <w:t>非法吸收或者变相吸收公众存款数额在</w:t>
      </w:r>
      <w:r w:rsidRPr="00C05B24">
        <w:rPr>
          <w:rFonts w:ascii="微软雅黑" w:eastAsia="微软雅黑" w:hAnsi="微软雅黑" w:hint="eastAsia"/>
          <w:spacing w:val="4"/>
          <w:sz w:val="24"/>
          <w:szCs w:val="24"/>
        </w:rPr>
        <w:t>500</w:t>
      </w:r>
      <w:r w:rsidRPr="00C05B24">
        <w:rPr>
          <w:rFonts w:ascii="微软雅黑" w:eastAsia="微软雅黑" w:hAnsi="微软雅黑" w:hint="eastAsia"/>
          <w:spacing w:val="4"/>
          <w:sz w:val="24"/>
          <w:szCs w:val="24"/>
        </w:rPr>
        <w:t>万元以上的；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（二）非法吸收或者变相吸收公众存款对象</w:t>
      </w:r>
      <w:r w:rsidRPr="00C05B24">
        <w:rPr>
          <w:rFonts w:ascii="微软雅黑" w:eastAsia="微软雅黑" w:hAnsi="微软雅黑" w:hint="eastAsia"/>
          <w:sz w:val="24"/>
          <w:szCs w:val="24"/>
        </w:rPr>
        <w:t>500</w:t>
      </w:r>
      <w:r w:rsidRPr="00C05B24">
        <w:rPr>
          <w:rFonts w:ascii="微软雅黑" w:eastAsia="微软雅黑" w:hAnsi="微软雅黑" w:hint="eastAsia"/>
          <w:sz w:val="24"/>
          <w:szCs w:val="24"/>
        </w:rPr>
        <w:t>人以上的；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（三）非法吸收或者变相吸收公众存款，给存款人造成直接经济损失数额在</w:t>
      </w:r>
      <w:r w:rsidRPr="00C05B24">
        <w:rPr>
          <w:rFonts w:ascii="微软雅黑" w:eastAsia="微软雅黑" w:hAnsi="微软雅黑" w:hint="eastAsia"/>
          <w:sz w:val="24"/>
          <w:szCs w:val="24"/>
        </w:rPr>
        <w:t>250</w:t>
      </w:r>
      <w:r w:rsidRPr="00C05B24">
        <w:rPr>
          <w:rFonts w:ascii="微软雅黑" w:eastAsia="微软雅黑" w:hAnsi="微软雅黑" w:hint="eastAsia"/>
          <w:sz w:val="24"/>
          <w:szCs w:val="24"/>
        </w:rPr>
        <w:t>万元以上的。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非法吸收或者变相吸收公众存款数额在</w:t>
      </w:r>
      <w:r w:rsidRPr="00C05B24">
        <w:rPr>
          <w:rFonts w:ascii="微软雅黑" w:eastAsia="微软雅黑" w:hAnsi="微软雅黑" w:hint="eastAsia"/>
          <w:sz w:val="24"/>
          <w:szCs w:val="24"/>
        </w:rPr>
        <w:t>250</w:t>
      </w:r>
      <w:r w:rsidRPr="00C05B24">
        <w:rPr>
          <w:rFonts w:ascii="微软雅黑" w:eastAsia="微软雅黑" w:hAnsi="微软雅黑" w:hint="eastAsia"/>
          <w:sz w:val="24"/>
          <w:szCs w:val="24"/>
        </w:rPr>
        <w:t>万元以上或者给存款人造成直接经济损失数额在</w:t>
      </w:r>
      <w:r w:rsidRPr="00C05B24">
        <w:rPr>
          <w:rFonts w:ascii="微软雅黑" w:eastAsia="微软雅黑" w:hAnsi="微软雅黑" w:hint="eastAsia"/>
          <w:sz w:val="24"/>
          <w:szCs w:val="24"/>
        </w:rPr>
        <w:t>150</w:t>
      </w:r>
      <w:r w:rsidRPr="00C05B24">
        <w:rPr>
          <w:rFonts w:ascii="微软雅黑" w:eastAsia="微软雅黑" w:hAnsi="微软雅黑" w:hint="eastAsia"/>
          <w:sz w:val="24"/>
          <w:szCs w:val="24"/>
        </w:rPr>
        <w:t>万元以上，同时具有本解释第三条第二款第三项情节的，应当认定为“其他严重</w:t>
      </w:r>
      <w:r w:rsidRPr="00C05B24">
        <w:rPr>
          <w:rFonts w:ascii="微软雅黑" w:eastAsia="微软雅黑" w:hAnsi="微软雅黑" w:hint="eastAsia"/>
          <w:sz w:val="24"/>
          <w:szCs w:val="24"/>
        </w:rPr>
        <w:t>情节”。</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Style w:val="af1"/>
          <w:rFonts w:ascii="微软雅黑" w:eastAsia="微软雅黑" w:hAnsi="微软雅黑" w:hint="eastAsia"/>
          <w:sz w:val="24"/>
          <w:szCs w:val="24"/>
        </w:rPr>
        <w:t xml:space="preserve">第五条　</w:t>
      </w:r>
      <w:r w:rsidRPr="00C05B24">
        <w:rPr>
          <w:rFonts w:ascii="微软雅黑" w:eastAsia="微软雅黑" w:hAnsi="微软雅黑" w:hint="eastAsia"/>
          <w:sz w:val="24"/>
          <w:szCs w:val="24"/>
        </w:rPr>
        <w:t>非法吸收或者变相吸收公众存款，具有下列情形之一的，应当认定为刑法第一百七十六条规定的“数额特别巨大或者有其他特别严重情节”：</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（一）非法吸收或者变相吸收公众存款数额在</w:t>
      </w:r>
      <w:r w:rsidRPr="00C05B24">
        <w:rPr>
          <w:rFonts w:ascii="微软雅黑" w:eastAsia="微软雅黑" w:hAnsi="微软雅黑" w:hint="eastAsia"/>
          <w:sz w:val="24"/>
          <w:szCs w:val="24"/>
        </w:rPr>
        <w:t>5000</w:t>
      </w:r>
      <w:r w:rsidRPr="00C05B24">
        <w:rPr>
          <w:rFonts w:ascii="微软雅黑" w:eastAsia="微软雅黑" w:hAnsi="微软雅黑" w:hint="eastAsia"/>
          <w:sz w:val="24"/>
          <w:szCs w:val="24"/>
        </w:rPr>
        <w:t>万元以上的；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（二）非法吸收或者变相吸收公众存款对象</w:t>
      </w:r>
      <w:r w:rsidRPr="00C05B24">
        <w:rPr>
          <w:rFonts w:ascii="微软雅黑" w:eastAsia="微软雅黑" w:hAnsi="微软雅黑" w:hint="eastAsia"/>
          <w:sz w:val="24"/>
          <w:szCs w:val="24"/>
        </w:rPr>
        <w:t>5000</w:t>
      </w:r>
      <w:r w:rsidRPr="00C05B24">
        <w:rPr>
          <w:rFonts w:ascii="微软雅黑" w:eastAsia="微软雅黑" w:hAnsi="微软雅黑" w:hint="eastAsia"/>
          <w:sz w:val="24"/>
          <w:szCs w:val="24"/>
        </w:rPr>
        <w:t>人以上的；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（三）非法吸收或者变相吸收公众存款，给存款人造成直接经济损失数额在</w:t>
      </w:r>
      <w:r w:rsidRPr="00C05B24">
        <w:rPr>
          <w:rFonts w:ascii="微软雅黑" w:eastAsia="微软雅黑" w:hAnsi="微软雅黑" w:hint="eastAsia"/>
          <w:sz w:val="24"/>
          <w:szCs w:val="24"/>
        </w:rPr>
        <w:t>2500</w:t>
      </w:r>
      <w:r w:rsidRPr="00C05B24">
        <w:rPr>
          <w:rFonts w:ascii="微软雅黑" w:eastAsia="微软雅黑" w:hAnsi="微软雅黑" w:hint="eastAsia"/>
          <w:sz w:val="24"/>
          <w:szCs w:val="24"/>
        </w:rPr>
        <w:t>万元以上的。</w:t>
      </w:r>
    </w:p>
    <w:p w:rsidR="00783D57" w:rsidRPr="00C05B24" w:rsidRDefault="00F4404D" w:rsidP="00C05B24">
      <w:pPr>
        <w:pStyle w:val="af0"/>
        <w:spacing w:line="400" w:lineRule="exact"/>
        <w:ind w:firstLine="480"/>
        <w:rPr>
          <w:rFonts w:ascii="微软雅黑" w:eastAsia="微软雅黑" w:hAnsi="微软雅黑"/>
          <w:spacing w:val="4"/>
          <w:sz w:val="24"/>
          <w:szCs w:val="24"/>
        </w:rPr>
      </w:pPr>
      <w:r w:rsidRPr="00C05B24">
        <w:rPr>
          <w:rFonts w:ascii="微软雅黑" w:eastAsia="微软雅黑" w:hAnsi="微软雅黑" w:hint="eastAsia"/>
          <w:sz w:val="24"/>
          <w:szCs w:val="24"/>
        </w:rPr>
        <w:t>非法吸收或者变相吸收公众存款数额在</w:t>
      </w:r>
      <w:r w:rsidRPr="00C05B24">
        <w:rPr>
          <w:rFonts w:ascii="微软雅黑" w:eastAsia="微软雅黑" w:hAnsi="微软雅黑" w:hint="eastAsia"/>
          <w:sz w:val="24"/>
          <w:szCs w:val="24"/>
        </w:rPr>
        <w:t>2500</w:t>
      </w:r>
      <w:r w:rsidRPr="00C05B24">
        <w:rPr>
          <w:rFonts w:ascii="微软雅黑" w:eastAsia="微软雅黑" w:hAnsi="微软雅黑" w:hint="eastAsia"/>
          <w:sz w:val="24"/>
          <w:szCs w:val="24"/>
        </w:rPr>
        <w:t>万元以上或者给存款人造成直接经济损失数额在</w:t>
      </w:r>
      <w:r w:rsidRPr="00C05B24">
        <w:rPr>
          <w:rFonts w:ascii="微软雅黑" w:eastAsia="微软雅黑" w:hAnsi="微软雅黑" w:hint="eastAsia"/>
          <w:sz w:val="24"/>
          <w:szCs w:val="24"/>
        </w:rPr>
        <w:t>1500</w:t>
      </w:r>
      <w:r w:rsidRPr="00C05B24">
        <w:rPr>
          <w:rFonts w:ascii="微软雅黑" w:eastAsia="微软雅黑" w:hAnsi="微软雅黑" w:hint="eastAsia"/>
          <w:sz w:val="24"/>
          <w:szCs w:val="24"/>
        </w:rPr>
        <w:t>万元以上，同时具有本解释第三条第二款第三项情节的，</w:t>
      </w:r>
      <w:r w:rsidRPr="00C05B24">
        <w:rPr>
          <w:rFonts w:ascii="微软雅黑" w:eastAsia="微软雅黑" w:hAnsi="微软雅黑" w:hint="eastAsia"/>
          <w:spacing w:val="4"/>
          <w:sz w:val="24"/>
          <w:szCs w:val="24"/>
        </w:rPr>
        <w:t>应当认定为“其他特</w:t>
      </w:r>
      <w:r w:rsidRPr="00C05B24">
        <w:rPr>
          <w:rFonts w:ascii="微软雅黑" w:eastAsia="微软雅黑" w:hAnsi="微软雅黑" w:hint="eastAsia"/>
          <w:spacing w:val="4"/>
          <w:sz w:val="24"/>
          <w:szCs w:val="24"/>
        </w:rPr>
        <w:t>别严重情节”。</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 xml:space="preserve">第六条　</w:t>
      </w:r>
      <w:r w:rsidRPr="00C05B24">
        <w:rPr>
          <w:rFonts w:ascii="微软雅黑" w:eastAsia="微软雅黑" w:hAnsi="微软雅黑" w:hint="eastAsia"/>
          <w:sz w:val="24"/>
          <w:szCs w:val="24"/>
        </w:rPr>
        <w:t>非法吸收或者变相吸收公众存款的数额，以行为人所吸收的资金全额计算。在提起公诉前积极退赃退赔，减少损害结果发生的，可以从轻或者减轻处罚；在提起公诉后退赃退赔的，可以作为量刑情节酌情考虑。</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非法吸收或者变相吸收公众存款，主要用于正常的生产经营活动，能够在提起公诉前清退所吸收资金，可以免予刑事处罚；情节显著轻微危害不大的，不作为犯罪处理。</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对依法不需要追究刑事责任或者免予刑事处罚的，应当依法将案件移送有关行政机关。</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Style w:val="af1"/>
          <w:rFonts w:ascii="微软雅黑" w:eastAsia="微软雅黑" w:hAnsi="微软雅黑" w:hint="eastAsia"/>
          <w:sz w:val="24"/>
          <w:szCs w:val="24"/>
        </w:rPr>
        <w:t xml:space="preserve">第七条　</w:t>
      </w:r>
      <w:r w:rsidRPr="00C05B24">
        <w:rPr>
          <w:rFonts w:ascii="微软雅黑" w:eastAsia="微软雅黑" w:hAnsi="微软雅黑" w:hint="eastAsia"/>
          <w:sz w:val="24"/>
          <w:szCs w:val="24"/>
        </w:rPr>
        <w:t>以非法占有为目的，使用诈骗方法实施本解释第二条规定所</w:t>
      </w:r>
      <w:proofErr w:type="gramStart"/>
      <w:r w:rsidRPr="00C05B24">
        <w:rPr>
          <w:rFonts w:ascii="微软雅黑" w:eastAsia="微软雅黑" w:hAnsi="微软雅黑" w:hint="eastAsia"/>
          <w:sz w:val="24"/>
          <w:szCs w:val="24"/>
        </w:rPr>
        <w:t>列行</w:t>
      </w:r>
      <w:proofErr w:type="gramEnd"/>
      <w:r w:rsidRPr="00C05B24">
        <w:rPr>
          <w:rFonts w:ascii="微软雅黑" w:eastAsia="微软雅黑" w:hAnsi="微软雅黑" w:hint="eastAsia"/>
          <w:sz w:val="24"/>
          <w:szCs w:val="24"/>
        </w:rPr>
        <w:t>为的，应当依照刑法第一百九十二条的规定，以集资诈骗罪定罪处罚。</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使用诈骗方法非法集资，具有下列情形之一的，可以认定为“以非法占有为目的”：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（一）集资后不用于生产经营活动或者用于生产经营活动与筹集资金规模明显不成比例，致使集资款不能返还的；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（二）肆意挥霍集资款，致使集资款不能返还的；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（三）携带集资款逃匿的；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（四）将集资款用于违法犯罪活动的；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（五）抽逃、转移资金、隐匿财产，逃避返还资金的；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lastRenderedPageBreak/>
        <w:t>（六）隐匿、销毁账目，或者搞假破产、假倒闭，逃避返还资金的；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（七）拒不交代资金去向，逃避返还资金的；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（八）其他可以认定非法占有目的的情形。</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集资诈骗罪中的非法占有目的，应当区分情形进行具体认定。行为人部分非法集资行为具有非法占有目的的，对该部分非法集资行为所涉集资款以集资诈骗罪定罪处罚；非法集资共同犯罪中部分行为人具有非法占有目的，其他行为人没有非法占有集资款的共同故意和行为的，对具有非法占有目的的行为人以集资诈骗罪定罪处罚。</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Style w:val="af1"/>
          <w:rFonts w:ascii="微软雅黑" w:eastAsia="微软雅黑" w:hAnsi="微软雅黑" w:hint="eastAsia"/>
          <w:sz w:val="24"/>
          <w:szCs w:val="24"/>
        </w:rPr>
        <w:t xml:space="preserve">第八条　</w:t>
      </w:r>
      <w:r w:rsidRPr="00C05B24">
        <w:rPr>
          <w:rFonts w:ascii="微软雅黑" w:eastAsia="微软雅黑" w:hAnsi="微软雅黑" w:hint="eastAsia"/>
          <w:sz w:val="24"/>
          <w:szCs w:val="24"/>
        </w:rPr>
        <w:t>集资诈骗数额在</w:t>
      </w:r>
      <w:r w:rsidRPr="00C05B24">
        <w:rPr>
          <w:rFonts w:ascii="微软雅黑" w:eastAsia="微软雅黑" w:hAnsi="微软雅黑" w:hint="eastAsia"/>
          <w:sz w:val="24"/>
          <w:szCs w:val="24"/>
        </w:rPr>
        <w:t>10</w:t>
      </w:r>
      <w:r w:rsidRPr="00C05B24">
        <w:rPr>
          <w:rFonts w:ascii="微软雅黑" w:eastAsia="微软雅黑" w:hAnsi="微软雅黑" w:hint="eastAsia"/>
          <w:sz w:val="24"/>
          <w:szCs w:val="24"/>
        </w:rPr>
        <w:t>万元以上的，应当认定为“数额较大”；数额在</w:t>
      </w:r>
      <w:r w:rsidRPr="00C05B24">
        <w:rPr>
          <w:rFonts w:ascii="微软雅黑" w:eastAsia="微软雅黑" w:hAnsi="微软雅黑" w:hint="eastAsia"/>
          <w:sz w:val="24"/>
          <w:szCs w:val="24"/>
        </w:rPr>
        <w:t>100</w:t>
      </w:r>
      <w:r w:rsidRPr="00C05B24">
        <w:rPr>
          <w:rFonts w:ascii="微软雅黑" w:eastAsia="微软雅黑" w:hAnsi="微软雅黑" w:hint="eastAsia"/>
          <w:sz w:val="24"/>
          <w:szCs w:val="24"/>
        </w:rPr>
        <w:t>万</w:t>
      </w:r>
      <w:r w:rsidRPr="00C05B24">
        <w:rPr>
          <w:rFonts w:ascii="微软雅黑" w:eastAsia="微软雅黑" w:hAnsi="微软雅黑" w:hint="eastAsia"/>
          <w:sz w:val="24"/>
          <w:szCs w:val="24"/>
        </w:rPr>
        <w:t>元以上的，应当认定为“数额巨大”。</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集资诈骗数额在</w:t>
      </w:r>
      <w:r w:rsidRPr="00C05B24">
        <w:rPr>
          <w:rFonts w:ascii="微软雅黑" w:eastAsia="微软雅黑" w:hAnsi="微软雅黑" w:hint="eastAsia"/>
          <w:sz w:val="24"/>
          <w:szCs w:val="24"/>
        </w:rPr>
        <w:t>50</w:t>
      </w:r>
      <w:r w:rsidRPr="00C05B24">
        <w:rPr>
          <w:rFonts w:ascii="微软雅黑" w:eastAsia="微软雅黑" w:hAnsi="微软雅黑" w:hint="eastAsia"/>
          <w:sz w:val="24"/>
          <w:szCs w:val="24"/>
        </w:rPr>
        <w:t>万元以上，同时具有本解释第三条第二款第三项情节的，应当认定为刑法第一百九十二条规定的“其他严重情节”。</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集资诈骗的数额以行为人实际骗取的数额计算，在案发前已归还的数额应予扣除。行为人为实施集资诈骗活动而支付的广告费、中介费、手续费、回扣，或者用于行贿、赠与等费用，不予扣除。行为人为实施集资诈骗活动而支付的利息，除本金未归还可予折抵本金以外，应当计入诈骗数额。</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Style w:val="af1"/>
          <w:rFonts w:ascii="微软雅黑" w:eastAsia="微软雅黑" w:hAnsi="微软雅黑" w:hint="eastAsia"/>
          <w:sz w:val="24"/>
          <w:szCs w:val="24"/>
        </w:rPr>
        <w:t xml:space="preserve">第九条　</w:t>
      </w:r>
      <w:r w:rsidRPr="00C05B24">
        <w:rPr>
          <w:rFonts w:ascii="微软雅黑" w:eastAsia="微软雅黑" w:hAnsi="微软雅黑" w:hint="eastAsia"/>
          <w:sz w:val="24"/>
          <w:szCs w:val="24"/>
        </w:rPr>
        <w:t>犯非法吸收公众存款罪，判处三年以下有期徒刑或者拘役，并处或者单处罚金的，处五万元以上一百</w:t>
      </w:r>
      <w:r w:rsidRPr="00C05B24">
        <w:rPr>
          <w:rFonts w:ascii="微软雅黑" w:eastAsia="微软雅黑" w:hAnsi="微软雅黑" w:hint="eastAsia"/>
          <w:sz w:val="24"/>
          <w:szCs w:val="24"/>
        </w:rPr>
        <w:t>万元以下罚金；判处三年以上十年以下有期徒刑的，并处十万元以上五百万元以下罚金；判处十年以上有期徒刑的，并处五十万元以上罚金。</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犯集资诈骗罪，判处三年以上七年以下有期徒刑的，并处十万元以上五百万元以下罚金；判处七年以上有期徒刑或者无期徒刑的，并处五十万元以上罚金或者没收财产。</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Style w:val="af1"/>
          <w:rFonts w:ascii="微软雅黑" w:eastAsia="微软雅黑" w:hAnsi="微软雅黑" w:hint="eastAsia"/>
          <w:sz w:val="24"/>
          <w:szCs w:val="24"/>
        </w:rPr>
        <w:t xml:space="preserve">第十条　</w:t>
      </w:r>
      <w:r w:rsidRPr="00C05B24">
        <w:rPr>
          <w:rFonts w:ascii="微软雅黑" w:eastAsia="微软雅黑" w:hAnsi="微软雅黑" w:hint="eastAsia"/>
          <w:sz w:val="24"/>
          <w:szCs w:val="24"/>
        </w:rPr>
        <w:t>未经国家有关主管部门批准，向社会不特定对象发行、以转让股权等方式变相发行股票或者公司、企业债券，或者向特定对象发行、变相发行股票或者公司、企业债券累计超过</w:t>
      </w:r>
      <w:r w:rsidRPr="00C05B24">
        <w:rPr>
          <w:rFonts w:ascii="微软雅黑" w:eastAsia="微软雅黑" w:hAnsi="微软雅黑" w:hint="eastAsia"/>
          <w:sz w:val="24"/>
          <w:szCs w:val="24"/>
        </w:rPr>
        <w:t>200</w:t>
      </w:r>
      <w:r w:rsidRPr="00C05B24">
        <w:rPr>
          <w:rFonts w:ascii="微软雅黑" w:eastAsia="微软雅黑" w:hAnsi="微软雅黑" w:hint="eastAsia"/>
          <w:sz w:val="24"/>
          <w:szCs w:val="24"/>
        </w:rPr>
        <w:t>人的，应当认定为刑法第一百七十九条规定的“擅自发行股票或者公司、企业</w:t>
      </w:r>
      <w:r w:rsidRPr="00C05B24">
        <w:rPr>
          <w:rFonts w:ascii="微软雅黑" w:eastAsia="微软雅黑" w:hAnsi="微软雅黑" w:hint="eastAsia"/>
          <w:sz w:val="24"/>
          <w:szCs w:val="24"/>
        </w:rPr>
        <w:t>债券”。构成犯罪的，以擅自发行股票、公司、企业债券罪定罪处罚。</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Style w:val="af1"/>
          <w:rFonts w:ascii="微软雅黑" w:eastAsia="微软雅黑" w:hAnsi="微软雅黑" w:hint="eastAsia"/>
          <w:sz w:val="24"/>
          <w:szCs w:val="24"/>
        </w:rPr>
        <w:t xml:space="preserve">第十一条　</w:t>
      </w:r>
      <w:r w:rsidRPr="00C05B24">
        <w:rPr>
          <w:rFonts w:ascii="微软雅黑" w:eastAsia="微软雅黑" w:hAnsi="微软雅黑" w:hint="eastAsia"/>
          <w:sz w:val="24"/>
          <w:szCs w:val="24"/>
        </w:rPr>
        <w:t>违反国家规定，未经依法核准擅自发行基金份额募集基金，情节严重的，依照刑法第二百二十五条的规定，以非法经营罪定罪处罚。</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Style w:val="af1"/>
          <w:rFonts w:ascii="微软雅黑" w:eastAsia="微软雅黑" w:hAnsi="微软雅黑" w:hint="eastAsia"/>
          <w:sz w:val="24"/>
          <w:szCs w:val="24"/>
        </w:rPr>
        <w:t xml:space="preserve">第十二条　</w:t>
      </w:r>
      <w:r w:rsidRPr="00C05B24">
        <w:rPr>
          <w:rFonts w:ascii="微软雅黑" w:eastAsia="微软雅黑" w:hAnsi="微软雅黑" w:hint="eastAsia"/>
          <w:sz w:val="24"/>
          <w:szCs w:val="24"/>
        </w:rPr>
        <w:t>广告经营者、广告发布者违反国家规定，利用广告为非法集资活动相关的商品或者服务作虚假宣传，具有下列情形之一的，依照刑法第二百二十二条的规定，以虚假广告罪定罪处罚：</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（一）违法所得数额在</w:t>
      </w:r>
      <w:r w:rsidRPr="00C05B24">
        <w:rPr>
          <w:rFonts w:ascii="微软雅黑" w:eastAsia="微软雅黑" w:hAnsi="微软雅黑" w:hint="eastAsia"/>
          <w:sz w:val="24"/>
          <w:szCs w:val="24"/>
        </w:rPr>
        <w:t>10</w:t>
      </w:r>
      <w:r w:rsidRPr="00C05B24">
        <w:rPr>
          <w:rFonts w:ascii="微软雅黑" w:eastAsia="微软雅黑" w:hAnsi="微软雅黑" w:hint="eastAsia"/>
          <w:sz w:val="24"/>
          <w:szCs w:val="24"/>
        </w:rPr>
        <w:t>万元以上的；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（二）造成严重危害后果或者恶劣社会影响的；</w:t>
      </w:r>
    </w:p>
    <w:p w:rsidR="00783D57" w:rsidRPr="00C05B24" w:rsidRDefault="00F4404D" w:rsidP="00C05B24">
      <w:pPr>
        <w:pStyle w:val="af0"/>
        <w:spacing w:line="400" w:lineRule="exact"/>
        <w:ind w:firstLine="480"/>
        <w:rPr>
          <w:rFonts w:ascii="微软雅黑" w:eastAsia="微软雅黑" w:hAnsi="微软雅黑"/>
          <w:spacing w:val="4"/>
          <w:sz w:val="24"/>
          <w:szCs w:val="24"/>
        </w:rPr>
      </w:pPr>
      <w:r w:rsidRPr="00C05B24">
        <w:rPr>
          <w:rFonts w:ascii="微软雅黑" w:eastAsia="微软雅黑" w:hAnsi="微软雅黑" w:hint="eastAsia"/>
          <w:sz w:val="24"/>
          <w:szCs w:val="24"/>
        </w:rPr>
        <w:t>（三）</w:t>
      </w:r>
      <w:r w:rsidRPr="00C05B24">
        <w:rPr>
          <w:rFonts w:ascii="微软雅黑" w:eastAsia="微软雅黑" w:hAnsi="微软雅黑" w:hint="eastAsia"/>
          <w:spacing w:val="4"/>
          <w:sz w:val="24"/>
          <w:szCs w:val="24"/>
        </w:rPr>
        <w:t>二年内利用广告作虚假宣传，受过行政处罚二次以上的；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（四）其</w:t>
      </w:r>
      <w:r w:rsidRPr="00C05B24">
        <w:rPr>
          <w:rFonts w:ascii="微软雅黑" w:eastAsia="微软雅黑" w:hAnsi="微软雅黑" w:hint="eastAsia"/>
          <w:sz w:val="24"/>
          <w:szCs w:val="24"/>
        </w:rPr>
        <w:t>他情节严重的情形。</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Fonts w:ascii="微软雅黑" w:eastAsia="微软雅黑" w:hAnsi="微软雅黑" w:hint="eastAsia"/>
          <w:sz w:val="24"/>
          <w:szCs w:val="24"/>
        </w:rPr>
        <w:t>明知他人从事欺诈发行证券，非法吸收公众存款，擅自发行股票、公司、企业债券，集资诈骗或者组织、领导传销活动等集资犯罪活动，为其提供广告等宣传的，以相关犯罪的共犯论处。</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Style w:val="af1"/>
          <w:rFonts w:ascii="微软雅黑" w:eastAsia="微软雅黑" w:hAnsi="微软雅黑" w:hint="eastAsia"/>
          <w:sz w:val="24"/>
          <w:szCs w:val="24"/>
        </w:rPr>
        <w:t xml:space="preserve">第十三条　</w:t>
      </w:r>
      <w:r w:rsidRPr="00C05B24">
        <w:rPr>
          <w:rFonts w:ascii="微软雅黑" w:eastAsia="微软雅黑" w:hAnsi="微软雅黑" w:hint="eastAsia"/>
          <w:sz w:val="24"/>
          <w:szCs w:val="24"/>
        </w:rPr>
        <w:t>通过传销手段向社会公众非法吸收资金，构成非法吸收公众存款罪或者集资诈骗罪，同时又构成组织、领导传销活动罪的，依照处罚较重的规定定罪处罚。</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Style w:val="af1"/>
          <w:rFonts w:ascii="微软雅黑" w:eastAsia="微软雅黑" w:hAnsi="微软雅黑" w:hint="eastAsia"/>
          <w:sz w:val="24"/>
          <w:szCs w:val="24"/>
        </w:rPr>
        <w:t xml:space="preserve">第十四条　</w:t>
      </w:r>
      <w:r w:rsidRPr="00C05B24">
        <w:rPr>
          <w:rFonts w:ascii="微软雅黑" w:eastAsia="微软雅黑" w:hAnsi="微软雅黑" w:hint="eastAsia"/>
          <w:sz w:val="24"/>
          <w:szCs w:val="24"/>
        </w:rPr>
        <w:t>单位实施非法吸收公众存款、集资诈骗犯罪的，依照本解释规定的相应自然人犯罪的定罪量刑标准，对单位判处罚金，并对其直接负责的主管人员和其他直接责任人员定罪处罚。</w:t>
      </w:r>
    </w:p>
    <w:p w:rsidR="00783D57" w:rsidRPr="00C05B24" w:rsidRDefault="00F4404D" w:rsidP="00C05B24">
      <w:pPr>
        <w:pStyle w:val="af0"/>
        <w:spacing w:line="400" w:lineRule="exact"/>
        <w:ind w:firstLine="480"/>
        <w:rPr>
          <w:rFonts w:ascii="微软雅黑" w:eastAsia="微软雅黑" w:hAnsi="微软雅黑"/>
          <w:sz w:val="24"/>
          <w:szCs w:val="24"/>
        </w:rPr>
      </w:pPr>
      <w:r w:rsidRPr="00C05B24">
        <w:rPr>
          <w:rStyle w:val="af1"/>
          <w:rFonts w:ascii="微软雅黑" w:eastAsia="微软雅黑" w:hAnsi="微软雅黑" w:hint="eastAsia"/>
          <w:sz w:val="24"/>
          <w:szCs w:val="24"/>
        </w:rPr>
        <w:t xml:space="preserve">第十五条　</w:t>
      </w:r>
      <w:r w:rsidRPr="00C05B24">
        <w:rPr>
          <w:rFonts w:ascii="微软雅黑" w:eastAsia="微软雅黑" w:hAnsi="微软雅黑" w:hint="eastAsia"/>
          <w:sz w:val="24"/>
          <w:szCs w:val="24"/>
        </w:rPr>
        <w:t>此前发布的司法解释与本解释不一致的，以本解释为准。</w:t>
      </w:r>
    </w:p>
    <w:sectPr w:rsidR="00783D57" w:rsidRPr="00C05B24" w:rsidSect="00C05B24">
      <w:footerReference w:type="even" r:id="rId7"/>
      <w:footerReference w:type="default" r:id="rId8"/>
      <w:pgSz w:w="11906" w:h="16838"/>
      <w:pgMar w:top="720" w:right="720" w:bottom="720" w:left="720" w:header="283"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404D" w:rsidRDefault="00F4404D">
      <w:r>
        <w:separator/>
      </w:r>
    </w:p>
  </w:endnote>
  <w:endnote w:type="continuationSeparator" w:id="0">
    <w:p w:rsidR="00F4404D" w:rsidRDefault="00F44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D57" w:rsidRDefault="00F4404D">
    <w:pPr>
      <w:pStyle w:val="af2"/>
      <w:ind w:right="-378"/>
    </w:pPr>
    <w:r>
      <w:fldChar w:fldCharType="begin"/>
    </w:r>
    <w:r>
      <w:instrText xml:space="preserve"> PAGE  \* ArabicDash  \* MERGEFORMAT </w:instrText>
    </w:r>
    <w:r>
      <w:fldChar w:fldCharType="separate"/>
    </w:r>
    <w:r>
      <w:t>- 12 -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D57" w:rsidRDefault="00F4404D" w:rsidP="00C05B24">
    <w:pPr>
      <w:pStyle w:val="af3"/>
      <w:ind w:left="-378" w:firstLineChars="3500" w:firstLine="9800"/>
    </w:pPr>
    <w:r>
      <w:fldChar w:fldCharType="begin"/>
    </w:r>
    <w:r>
      <w:instrText xml:space="preserve"> PAGE  \* ArabicDash  \* MERGEFORMAT </w:instrText>
    </w:r>
    <w:r>
      <w:fldChar w:fldCharType="separate"/>
    </w:r>
    <w:r>
      <w:t>- 13 -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404D" w:rsidRDefault="00F4404D">
      <w:r>
        <w:separator/>
      </w:r>
    </w:p>
  </w:footnote>
  <w:footnote w:type="continuationSeparator" w:id="0">
    <w:p w:rsidR="00F4404D" w:rsidRDefault="00F440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DcxMDIxYTE3OGQ0MmNkNzlkZWQ3NzExYzQxZjhiMTAifQ=="/>
  </w:docVars>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2C7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0F5EBA"/>
    <w:rsid w:val="00105524"/>
    <w:rsid w:val="00105EA6"/>
    <w:rsid w:val="001066EE"/>
    <w:rsid w:val="00106D59"/>
    <w:rsid w:val="001211C7"/>
    <w:rsid w:val="001252FD"/>
    <w:rsid w:val="00125415"/>
    <w:rsid w:val="00133F36"/>
    <w:rsid w:val="00141FB6"/>
    <w:rsid w:val="00156266"/>
    <w:rsid w:val="001614DD"/>
    <w:rsid w:val="001617A2"/>
    <w:rsid w:val="00162880"/>
    <w:rsid w:val="0016489F"/>
    <w:rsid w:val="0016665A"/>
    <w:rsid w:val="00170A71"/>
    <w:rsid w:val="001A7520"/>
    <w:rsid w:val="001B131A"/>
    <w:rsid w:val="001B153F"/>
    <w:rsid w:val="001B6523"/>
    <w:rsid w:val="001C366F"/>
    <w:rsid w:val="001D4E14"/>
    <w:rsid w:val="001D5662"/>
    <w:rsid w:val="001E1AB1"/>
    <w:rsid w:val="002064F7"/>
    <w:rsid w:val="00206B2B"/>
    <w:rsid w:val="00215837"/>
    <w:rsid w:val="0021638E"/>
    <w:rsid w:val="002216B9"/>
    <w:rsid w:val="0023259F"/>
    <w:rsid w:val="00233F94"/>
    <w:rsid w:val="00235183"/>
    <w:rsid w:val="00241E35"/>
    <w:rsid w:val="002428F9"/>
    <w:rsid w:val="00245BB3"/>
    <w:rsid w:val="00253813"/>
    <w:rsid w:val="00254E9D"/>
    <w:rsid w:val="0025742F"/>
    <w:rsid w:val="00257FA5"/>
    <w:rsid w:val="002671B1"/>
    <w:rsid w:val="00271C80"/>
    <w:rsid w:val="00274A20"/>
    <w:rsid w:val="00277543"/>
    <w:rsid w:val="00281EEF"/>
    <w:rsid w:val="0028710F"/>
    <w:rsid w:val="002A0E27"/>
    <w:rsid w:val="002A0E47"/>
    <w:rsid w:val="002A1765"/>
    <w:rsid w:val="002A1BB0"/>
    <w:rsid w:val="002A7E25"/>
    <w:rsid w:val="002B5E8C"/>
    <w:rsid w:val="002C11D2"/>
    <w:rsid w:val="002D6C55"/>
    <w:rsid w:val="002E52C2"/>
    <w:rsid w:val="002E71C4"/>
    <w:rsid w:val="0030431D"/>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4561"/>
    <w:rsid w:val="00395336"/>
    <w:rsid w:val="003A551C"/>
    <w:rsid w:val="003B50D6"/>
    <w:rsid w:val="003C0536"/>
    <w:rsid w:val="003D7E4C"/>
    <w:rsid w:val="003E737D"/>
    <w:rsid w:val="003F534F"/>
    <w:rsid w:val="003F661F"/>
    <w:rsid w:val="00403942"/>
    <w:rsid w:val="00422EA0"/>
    <w:rsid w:val="00424C9C"/>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E4C26"/>
    <w:rsid w:val="004F5158"/>
    <w:rsid w:val="00506C84"/>
    <w:rsid w:val="005142A1"/>
    <w:rsid w:val="00517CAB"/>
    <w:rsid w:val="00536EBF"/>
    <w:rsid w:val="0053713F"/>
    <w:rsid w:val="005433C2"/>
    <w:rsid w:val="005502F2"/>
    <w:rsid w:val="00562083"/>
    <w:rsid w:val="0057423C"/>
    <w:rsid w:val="00580C2B"/>
    <w:rsid w:val="0058350A"/>
    <w:rsid w:val="00586344"/>
    <w:rsid w:val="00594376"/>
    <w:rsid w:val="005A3B1C"/>
    <w:rsid w:val="005A56F6"/>
    <w:rsid w:val="005A6C12"/>
    <w:rsid w:val="005C1972"/>
    <w:rsid w:val="005D3469"/>
    <w:rsid w:val="005E1766"/>
    <w:rsid w:val="005E2A4A"/>
    <w:rsid w:val="005E48B7"/>
    <w:rsid w:val="005F1B3D"/>
    <w:rsid w:val="00602816"/>
    <w:rsid w:val="00604ACB"/>
    <w:rsid w:val="00606C5B"/>
    <w:rsid w:val="00612F03"/>
    <w:rsid w:val="006171AA"/>
    <w:rsid w:val="00617304"/>
    <w:rsid w:val="006178C3"/>
    <w:rsid w:val="00621BAF"/>
    <w:rsid w:val="0062410E"/>
    <w:rsid w:val="00626CE8"/>
    <w:rsid w:val="00661621"/>
    <w:rsid w:val="00663037"/>
    <w:rsid w:val="006711F4"/>
    <w:rsid w:val="0068140B"/>
    <w:rsid w:val="00685825"/>
    <w:rsid w:val="0069347C"/>
    <w:rsid w:val="006B086F"/>
    <w:rsid w:val="006D2483"/>
    <w:rsid w:val="006E1737"/>
    <w:rsid w:val="006E1FF4"/>
    <w:rsid w:val="006E7630"/>
    <w:rsid w:val="006F0A7E"/>
    <w:rsid w:val="006F6FC3"/>
    <w:rsid w:val="006F7D77"/>
    <w:rsid w:val="00715180"/>
    <w:rsid w:val="00720A73"/>
    <w:rsid w:val="00720CAF"/>
    <w:rsid w:val="00724377"/>
    <w:rsid w:val="007276B4"/>
    <w:rsid w:val="00727EEC"/>
    <w:rsid w:val="00733E0F"/>
    <w:rsid w:val="00745D25"/>
    <w:rsid w:val="007506EE"/>
    <w:rsid w:val="0075447F"/>
    <w:rsid w:val="00754A2D"/>
    <w:rsid w:val="007643CE"/>
    <w:rsid w:val="00766157"/>
    <w:rsid w:val="00767F68"/>
    <w:rsid w:val="0077490A"/>
    <w:rsid w:val="007775EF"/>
    <w:rsid w:val="00783D57"/>
    <w:rsid w:val="00787E3C"/>
    <w:rsid w:val="007A51E0"/>
    <w:rsid w:val="007A6544"/>
    <w:rsid w:val="007A7FD3"/>
    <w:rsid w:val="007B2410"/>
    <w:rsid w:val="007C01D1"/>
    <w:rsid w:val="007C5705"/>
    <w:rsid w:val="007D13B8"/>
    <w:rsid w:val="007D77CE"/>
    <w:rsid w:val="00802CDC"/>
    <w:rsid w:val="00805E1D"/>
    <w:rsid w:val="00813FEC"/>
    <w:rsid w:val="00814E29"/>
    <w:rsid w:val="00823C1E"/>
    <w:rsid w:val="00826D77"/>
    <w:rsid w:val="0083338D"/>
    <w:rsid w:val="00855283"/>
    <w:rsid w:val="008701AB"/>
    <w:rsid w:val="0087139A"/>
    <w:rsid w:val="008760A5"/>
    <w:rsid w:val="00877798"/>
    <w:rsid w:val="008802DB"/>
    <w:rsid w:val="00881967"/>
    <w:rsid w:val="00885F48"/>
    <w:rsid w:val="00890F76"/>
    <w:rsid w:val="0089274E"/>
    <w:rsid w:val="008979B8"/>
    <w:rsid w:val="008A08FA"/>
    <w:rsid w:val="008C0131"/>
    <w:rsid w:val="008D764D"/>
    <w:rsid w:val="008E70E5"/>
    <w:rsid w:val="008F2503"/>
    <w:rsid w:val="008F50DB"/>
    <w:rsid w:val="008F5238"/>
    <w:rsid w:val="008F7723"/>
    <w:rsid w:val="00904BC8"/>
    <w:rsid w:val="00911248"/>
    <w:rsid w:val="00913A4E"/>
    <w:rsid w:val="00920305"/>
    <w:rsid w:val="00925F75"/>
    <w:rsid w:val="00971108"/>
    <w:rsid w:val="0097410F"/>
    <w:rsid w:val="00974280"/>
    <w:rsid w:val="00974393"/>
    <w:rsid w:val="0097704C"/>
    <w:rsid w:val="00986E71"/>
    <w:rsid w:val="00992211"/>
    <w:rsid w:val="009942EB"/>
    <w:rsid w:val="009A1862"/>
    <w:rsid w:val="009A78E1"/>
    <w:rsid w:val="009A7FCF"/>
    <w:rsid w:val="009B548C"/>
    <w:rsid w:val="009D18B6"/>
    <w:rsid w:val="009E6F62"/>
    <w:rsid w:val="009E7F86"/>
    <w:rsid w:val="009F1030"/>
    <w:rsid w:val="009F1B6D"/>
    <w:rsid w:val="00A02039"/>
    <w:rsid w:val="00A04BD7"/>
    <w:rsid w:val="00A20EDD"/>
    <w:rsid w:val="00A212C7"/>
    <w:rsid w:val="00A23406"/>
    <w:rsid w:val="00A23A56"/>
    <w:rsid w:val="00A27EDD"/>
    <w:rsid w:val="00A35940"/>
    <w:rsid w:val="00A35D41"/>
    <w:rsid w:val="00A40953"/>
    <w:rsid w:val="00A459E3"/>
    <w:rsid w:val="00A571FE"/>
    <w:rsid w:val="00A636AF"/>
    <w:rsid w:val="00A672F5"/>
    <w:rsid w:val="00A773EC"/>
    <w:rsid w:val="00AA03DB"/>
    <w:rsid w:val="00AA164E"/>
    <w:rsid w:val="00AA3B2D"/>
    <w:rsid w:val="00AA7268"/>
    <w:rsid w:val="00AB0D6D"/>
    <w:rsid w:val="00AB68DD"/>
    <w:rsid w:val="00AC2B0B"/>
    <w:rsid w:val="00AC4F2A"/>
    <w:rsid w:val="00AD35D8"/>
    <w:rsid w:val="00AD6BB8"/>
    <w:rsid w:val="00AF6D19"/>
    <w:rsid w:val="00B018B8"/>
    <w:rsid w:val="00B04B6E"/>
    <w:rsid w:val="00B1436F"/>
    <w:rsid w:val="00B17FDC"/>
    <w:rsid w:val="00B22148"/>
    <w:rsid w:val="00B25C4D"/>
    <w:rsid w:val="00B32A99"/>
    <w:rsid w:val="00B32EB3"/>
    <w:rsid w:val="00B364E6"/>
    <w:rsid w:val="00B47C30"/>
    <w:rsid w:val="00B47F03"/>
    <w:rsid w:val="00B62010"/>
    <w:rsid w:val="00B6417D"/>
    <w:rsid w:val="00B712AC"/>
    <w:rsid w:val="00B82084"/>
    <w:rsid w:val="00B95E1A"/>
    <w:rsid w:val="00BA104F"/>
    <w:rsid w:val="00BA18F5"/>
    <w:rsid w:val="00BB4808"/>
    <w:rsid w:val="00BC4000"/>
    <w:rsid w:val="00BD0CCF"/>
    <w:rsid w:val="00BD62E5"/>
    <w:rsid w:val="00BD715F"/>
    <w:rsid w:val="00BD7A11"/>
    <w:rsid w:val="00BE0134"/>
    <w:rsid w:val="00BE421E"/>
    <w:rsid w:val="00BE428E"/>
    <w:rsid w:val="00BE6A42"/>
    <w:rsid w:val="00BF009A"/>
    <w:rsid w:val="00BF2167"/>
    <w:rsid w:val="00BF4E21"/>
    <w:rsid w:val="00BF6AB5"/>
    <w:rsid w:val="00C03182"/>
    <w:rsid w:val="00C05B24"/>
    <w:rsid w:val="00C10C97"/>
    <w:rsid w:val="00C14022"/>
    <w:rsid w:val="00C41CE2"/>
    <w:rsid w:val="00C452E4"/>
    <w:rsid w:val="00C53D36"/>
    <w:rsid w:val="00C57E0D"/>
    <w:rsid w:val="00C636EE"/>
    <w:rsid w:val="00C7181C"/>
    <w:rsid w:val="00C73C73"/>
    <w:rsid w:val="00C748B2"/>
    <w:rsid w:val="00C75F27"/>
    <w:rsid w:val="00C76A21"/>
    <w:rsid w:val="00C85BE4"/>
    <w:rsid w:val="00CA3418"/>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6266A"/>
    <w:rsid w:val="00D91F48"/>
    <w:rsid w:val="00D937CE"/>
    <w:rsid w:val="00D96432"/>
    <w:rsid w:val="00D97443"/>
    <w:rsid w:val="00DB1764"/>
    <w:rsid w:val="00DB2440"/>
    <w:rsid w:val="00DB3C8A"/>
    <w:rsid w:val="00DB5F18"/>
    <w:rsid w:val="00DC5F89"/>
    <w:rsid w:val="00DD0C51"/>
    <w:rsid w:val="00DD7AE6"/>
    <w:rsid w:val="00DE69D1"/>
    <w:rsid w:val="00E06E17"/>
    <w:rsid w:val="00E11578"/>
    <w:rsid w:val="00E2376E"/>
    <w:rsid w:val="00E25C09"/>
    <w:rsid w:val="00E33AF2"/>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11389"/>
    <w:rsid w:val="00F11CAA"/>
    <w:rsid w:val="00F14865"/>
    <w:rsid w:val="00F3114F"/>
    <w:rsid w:val="00F3147A"/>
    <w:rsid w:val="00F31FF1"/>
    <w:rsid w:val="00F347B6"/>
    <w:rsid w:val="00F37571"/>
    <w:rsid w:val="00F4404D"/>
    <w:rsid w:val="00F44A15"/>
    <w:rsid w:val="00F46B3C"/>
    <w:rsid w:val="00F4779A"/>
    <w:rsid w:val="00F64A2C"/>
    <w:rsid w:val="00F64D94"/>
    <w:rsid w:val="00F70562"/>
    <w:rsid w:val="00F744B5"/>
    <w:rsid w:val="00F74986"/>
    <w:rsid w:val="00F845F5"/>
    <w:rsid w:val="00F84788"/>
    <w:rsid w:val="00F865EA"/>
    <w:rsid w:val="00F90AF4"/>
    <w:rsid w:val="00F92C7B"/>
    <w:rsid w:val="00FA21BD"/>
    <w:rsid w:val="00FB3DE0"/>
    <w:rsid w:val="00FB46C7"/>
    <w:rsid w:val="00FC2B5F"/>
    <w:rsid w:val="00FD0009"/>
    <w:rsid w:val="00FD51B5"/>
    <w:rsid w:val="00FF402A"/>
    <w:rsid w:val="00FF690A"/>
    <w:rsid w:val="069F21C2"/>
    <w:rsid w:val="41A937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60FAD2"/>
  <w15:docId w15:val="{CA64DD92-8506-4657-81AB-251842904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Note Heading"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qFormat/>
    <w:pPr>
      <w:jc w:val="center"/>
    </w:pPr>
  </w:style>
  <w:style w:type="paragraph" w:styleId="a5">
    <w:name w:val="Plain Text"/>
    <w:basedOn w:val="a"/>
    <w:link w:val="a6"/>
    <w:uiPriority w:val="99"/>
    <w:qFormat/>
    <w:rPr>
      <w:rFonts w:ascii="宋体" w:hAnsi="Courier New" w:cs="Courier New"/>
      <w:szCs w:val="21"/>
    </w:rPr>
  </w:style>
  <w:style w:type="paragraph" w:styleId="a7">
    <w:name w:val="Balloon Text"/>
    <w:basedOn w:val="a"/>
    <w:link w:val="a8"/>
    <w:qFormat/>
    <w:rPr>
      <w:sz w:val="18"/>
      <w:szCs w:val="18"/>
    </w:rPr>
  </w:style>
  <w:style w:type="paragraph" w:styleId="a9">
    <w:name w:val="footer"/>
    <w:basedOn w:val="a"/>
    <w:qFormat/>
    <w:pPr>
      <w:tabs>
        <w:tab w:val="center" w:pos="4153"/>
        <w:tab w:val="right" w:pos="8306"/>
      </w:tabs>
      <w:snapToGrid w:val="0"/>
      <w:jc w:val="left"/>
    </w:pPr>
    <w:rPr>
      <w:sz w:val="18"/>
      <w:szCs w:val="18"/>
    </w:rPr>
  </w:style>
  <w:style w:type="paragraph" w:styleId="aa">
    <w:name w:val="header"/>
    <w:basedOn w:val="a"/>
    <w:link w:val="ab"/>
    <w:qFormat/>
    <w:pPr>
      <w:tabs>
        <w:tab w:val="center" w:pos="4153"/>
        <w:tab w:val="right" w:pos="8306"/>
      </w:tabs>
      <w:snapToGrid w:val="0"/>
      <w:jc w:val="center"/>
    </w:pPr>
    <w:rPr>
      <w:sz w:val="18"/>
      <w:szCs w:val="18"/>
    </w:rPr>
  </w:style>
  <w:style w:type="character" w:styleId="ac">
    <w:name w:val="page number"/>
    <w:basedOn w:val="a0"/>
    <w:qFormat/>
  </w:style>
  <w:style w:type="paragraph" w:customStyle="1" w:styleId="ParaCharCharCharCharCharCharChar">
    <w:name w:val="默认段落字体 Para Char Char Char Char Char Char Char"/>
    <w:basedOn w:val="a"/>
    <w:qFormat/>
  </w:style>
  <w:style w:type="character" w:customStyle="1" w:styleId="ab">
    <w:name w:val="页眉 字符"/>
    <w:basedOn w:val="a0"/>
    <w:link w:val="aa"/>
    <w:qFormat/>
    <w:rPr>
      <w:kern w:val="2"/>
      <w:sz w:val="18"/>
      <w:szCs w:val="18"/>
    </w:rPr>
  </w:style>
  <w:style w:type="character" w:customStyle="1" w:styleId="a8">
    <w:name w:val="批注框文本 字符"/>
    <w:basedOn w:val="a0"/>
    <w:link w:val="a7"/>
    <w:qFormat/>
    <w:rPr>
      <w:kern w:val="2"/>
      <w:sz w:val="18"/>
      <w:szCs w:val="18"/>
    </w:rPr>
  </w:style>
  <w:style w:type="character" w:customStyle="1" w:styleId="a6">
    <w:name w:val="纯文本 字符"/>
    <w:basedOn w:val="a0"/>
    <w:link w:val="a5"/>
    <w:uiPriority w:val="99"/>
    <w:qFormat/>
    <w:rPr>
      <w:rFonts w:ascii="宋体" w:hAnsi="Courier New" w:cs="Courier New"/>
      <w:kern w:val="2"/>
      <w:sz w:val="21"/>
      <w:szCs w:val="21"/>
    </w:rPr>
  </w:style>
  <w:style w:type="paragraph" w:customStyle="1" w:styleId="ad">
    <w:name w:val="法 标题"/>
    <w:qFormat/>
    <w:pPr>
      <w:widowControl w:val="0"/>
      <w:spacing w:line="560" w:lineRule="exact"/>
      <w:jc w:val="center"/>
    </w:pPr>
    <w:rPr>
      <w:rFonts w:ascii="仿宋_GB2312" w:hAnsi="仿宋_GB2312" w:cs="仿宋_GB2312"/>
      <w:kern w:val="2"/>
      <w:sz w:val="44"/>
      <w:szCs w:val="32"/>
    </w:rPr>
  </w:style>
  <w:style w:type="paragraph" w:customStyle="1" w:styleId="ae">
    <w:name w:val="法 法释"/>
    <w:qFormat/>
    <w:pPr>
      <w:widowControl w:val="0"/>
      <w:spacing w:line="560" w:lineRule="exact"/>
      <w:jc w:val="center"/>
    </w:pPr>
    <w:rPr>
      <w:rFonts w:ascii="楷体_GB2312" w:eastAsia="楷体_GB2312" w:hAnsi="宋体" w:cs="宋体"/>
      <w:kern w:val="2"/>
      <w:sz w:val="32"/>
      <w:szCs w:val="30"/>
    </w:rPr>
  </w:style>
  <w:style w:type="paragraph" w:customStyle="1" w:styleId="af">
    <w:name w:val="法 法释后"/>
    <w:qFormat/>
    <w:pPr>
      <w:widowControl w:val="0"/>
      <w:spacing w:line="560" w:lineRule="exact"/>
      <w:ind w:leftChars="300" w:left="300" w:rightChars="300" w:right="300"/>
      <w:jc w:val="both"/>
    </w:pPr>
    <w:rPr>
      <w:rFonts w:ascii="楷体_GB2312" w:eastAsia="楷体_GB2312" w:hAnsi="楷体" w:cs="宋体"/>
      <w:kern w:val="2"/>
      <w:sz w:val="32"/>
      <w:szCs w:val="30"/>
    </w:rPr>
  </w:style>
  <w:style w:type="paragraph" w:customStyle="1" w:styleId="af0">
    <w:name w:val="法 正文"/>
    <w:qFormat/>
    <w:pPr>
      <w:widowControl w:val="0"/>
      <w:spacing w:line="560" w:lineRule="exact"/>
      <w:ind w:firstLineChars="200" w:firstLine="200"/>
      <w:jc w:val="both"/>
    </w:pPr>
    <w:rPr>
      <w:rFonts w:ascii="仿宋_GB2312" w:eastAsia="仿宋_GB2312" w:hAnsi="宋体" w:cs="宋体"/>
      <w:kern w:val="2"/>
      <w:sz w:val="32"/>
      <w:szCs w:val="30"/>
    </w:rPr>
  </w:style>
  <w:style w:type="character" w:customStyle="1" w:styleId="af1">
    <w:name w:val="黑体　三号"/>
    <w:basedOn w:val="a0"/>
    <w:uiPriority w:val="1"/>
    <w:qFormat/>
    <w:rPr>
      <w:rFonts w:eastAsia="黑体"/>
      <w:sz w:val="32"/>
    </w:rPr>
  </w:style>
  <w:style w:type="character" w:customStyle="1" w:styleId="a4">
    <w:name w:val="注释标题 字符"/>
    <w:basedOn w:val="a0"/>
    <w:link w:val="a3"/>
    <w:qFormat/>
    <w:rPr>
      <w:kern w:val="2"/>
      <w:sz w:val="21"/>
      <w:szCs w:val="24"/>
    </w:rPr>
  </w:style>
  <w:style w:type="paragraph" w:customStyle="1" w:styleId="af2">
    <w:name w:val="法 页码 偶"/>
    <w:qFormat/>
    <w:pPr>
      <w:widowControl w:val="0"/>
      <w:spacing w:line="560" w:lineRule="exact"/>
      <w:ind w:rightChars="-180" w:right="-180"/>
      <w:jc w:val="right"/>
    </w:pPr>
    <w:rPr>
      <w:rFonts w:ascii="宋体"/>
      <w:kern w:val="2"/>
      <w:sz w:val="28"/>
      <w:szCs w:val="18"/>
    </w:rPr>
  </w:style>
  <w:style w:type="paragraph" w:customStyle="1" w:styleId="af3">
    <w:name w:val="法 页码 奇"/>
    <w:qFormat/>
    <w:pPr>
      <w:widowControl w:val="0"/>
      <w:spacing w:line="560" w:lineRule="exact"/>
      <w:ind w:leftChars="-180" w:left="-180"/>
    </w:pPr>
    <w:rPr>
      <w:rFonts w:ascii="宋体"/>
      <w:kern w:val="2"/>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B31A6-1DBB-45BA-A6B4-38B864F68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534</Words>
  <Characters>3048</Characters>
  <Application>Microsoft Office Word</Application>
  <DocSecurity>0</DocSecurity>
  <Lines>25</Lines>
  <Paragraphs>7</Paragraphs>
  <ScaleCrop>false</ScaleCrop>
  <Company>Lenovo (Beijing) Limited</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16</cp:revision>
  <cp:lastPrinted>2014-04-03T09:04:00Z</cp:lastPrinted>
  <dcterms:created xsi:type="dcterms:W3CDTF">2022-02-23T06:40:00Z</dcterms:created>
  <dcterms:modified xsi:type="dcterms:W3CDTF">2025-08-26T04:33:00Z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7F3D74286D5146DF89E788293339238F</vt:lpwstr>
  </property>
</Properties>
</file>